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沙湾市乡村振兴局</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bookmarkStart w:id="4" w:name="_Toc31238"/>
      <w:bookmarkStart w:id="5" w:name="_Toc2151"/>
      <w:r>
        <w:rPr>
          <w:rFonts w:hint="eastAsia" w:ascii="仿宋_GB2312" w:eastAsia="仿宋_GB2312"/>
          <w:color w:val="auto"/>
          <w:sz w:val="32"/>
          <w:szCs w:val="32"/>
          <w:highlight w:val="none"/>
          <w:lang w:val="en-US" w:eastAsia="zh-CN"/>
        </w:rPr>
        <w:t>（1）贯彻执行国家和自治区、地区有关巩固拓展脱贫攻坚成果同乡村振兴有效衔接工作方针、政策和法律法规及乡村振兴战略；</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（2）负责沙湾市巩固拓展脱贫攻坚成果同乡村振兴有效衔接、统筹推进实施乡村振兴战略有关工作；</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（3）配合完善乡村治理体系，开展乡村治理有关工作；</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4）负责沙湾市年度巩固拓展脱贫攻坚成果同乡村振兴有效衔接项目库建设；负责乡村振兴有关项目上报备案；负责衔接资金的绩效评价和监督管理；督促项目实施单位与乡镇、村队做好项目资产的确权和移交，建立扶贫资产跟踪监测和风险预警机制，做好项目资产后续监管工作；</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（5）做好防止返贫动态监测和帮扶，开展区内协作帮扶工作；</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（6）督促乡镇实施人居环境整治相关工作；</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（7）完成市委、市政府交办的其他工作。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沙湾市乡村振兴局</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18</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18</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color w:val="auto"/>
          <w:sz w:val="32"/>
          <w:szCs w:val="32"/>
          <w:highlight w:val="none"/>
          <w:lang w:val="en-US" w:eastAsia="zh-CN"/>
        </w:rPr>
        <w:t>沙湾市乡村振兴局无下属预算单位，下设5个处室，分别是：</w:t>
      </w:r>
      <w:r>
        <w:rPr>
          <w:rFonts w:hint="eastAsia" w:ascii="仿宋_GB2312" w:eastAsia="仿宋_GB2312"/>
          <w:color w:val="auto"/>
          <w:sz w:val="32"/>
          <w:szCs w:val="32"/>
          <w:highlight w:val="none"/>
          <w:lang w:val="en-US" w:eastAsia="en-US"/>
        </w:rPr>
        <w:t>党政办公室、项目管理办公室、防返贫监测办公室、人居环境整治办公室、综合办公室</w:t>
      </w:r>
      <w:r>
        <w:rPr>
          <w:rFonts w:hint="eastAsia" w:ascii="仿宋_GB2312" w:eastAsia="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2,356.31万元，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2,356.31万元，使用非财政拨款结余0.00万元，年初结转和结余0.00万元。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2,356.31万元，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2,356.31万元，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val="zh-CN" w:eastAsia="zh-CN"/>
        </w:rPr>
        <w:t>减少20,563.74万元</w:t>
      </w:r>
      <w:r>
        <w:rPr>
          <w:rFonts w:hint="eastAsia" w:ascii="仿宋_GB2312" w:eastAsia="仿宋_GB2312"/>
          <w:color w:val="auto"/>
          <w:spacing w:val="0"/>
          <w:sz w:val="32"/>
          <w:szCs w:val="32"/>
          <w:highlight w:val="none"/>
          <w:lang w:val="en-US" w:eastAsia="zh-CN"/>
        </w:rPr>
        <w:t>，下降89.72%，主要原因是：2023年乡村振兴项目资金较上年减少，光上年实施的沙湾市农村基础设施建设项目（一期）项目资金13000万元，还有沙湾市农村基础设施建设项目9533万元，而今年实施的项目沙湾市博尔通古乡喀拉巴斯陶村自然沟整治项目260.3万元，沙湾市安集海、西戈壁、博尔通古三乡镇清洁能源煤改电及基础设施建设项目1771万元，所以本年收入支出比上年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2,356.31</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2,356.31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本年支出2,356.31万元，其中：基本支出275.38万元，占11.69%；项目支出2,080.92万元，占88.31%；上缴上级支出0.00万元，占0.00%；经营支出0.00万元，占0.00%；对附属单位补助支出0.00万元，占0.00%。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2,356.31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2,356.31</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2,356.31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2,356.31</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减少20,563.74万元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下降89.72%,</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2023年乡村振兴项目资金较上年减少，所以本年</w:t>
      </w:r>
      <w:r>
        <w:rPr>
          <w:rFonts w:hint="eastAsia" w:ascii="仿宋_GB2312" w:eastAsia="仿宋_GB2312"/>
          <w:color w:val="auto"/>
          <w:spacing w:val="0"/>
          <w:sz w:val="32"/>
          <w:szCs w:val="32"/>
          <w:highlight w:val="none"/>
          <w:lang w:eastAsia="zh-CN"/>
        </w:rPr>
        <w:t>财政拨款收入支出</w:t>
      </w:r>
      <w:r>
        <w:rPr>
          <w:rFonts w:hint="eastAsia" w:ascii="仿宋_GB2312" w:eastAsia="仿宋_GB2312"/>
          <w:color w:val="auto"/>
          <w:spacing w:val="0"/>
          <w:sz w:val="32"/>
          <w:szCs w:val="32"/>
          <w:highlight w:val="none"/>
          <w:lang w:val="en-US" w:eastAsia="zh-CN"/>
        </w:rPr>
        <w:t>比上年减少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548.33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2,356.31</w:t>
      </w:r>
      <w:r>
        <w:rPr>
          <w:rFonts w:hint="eastAsia" w:ascii="仿宋_GB2312" w:eastAsia="仿宋_GB2312"/>
          <w:color w:val="auto"/>
          <w:spacing w:val="0"/>
          <w:sz w:val="32"/>
          <w:szCs w:val="32"/>
          <w:highlight w:val="none"/>
          <w:lang w:eastAsia="zh-CN"/>
        </w:rPr>
        <w:t>万元，预决算差异率329.72%，主要原因是：2023年决算数增加了</w:t>
      </w:r>
      <w:r>
        <w:rPr>
          <w:rFonts w:hint="eastAsia" w:ascii="仿宋_GB2312" w:eastAsia="仿宋_GB2312"/>
          <w:color w:val="auto"/>
          <w:spacing w:val="0"/>
          <w:sz w:val="32"/>
          <w:szCs w:val="32"/>
          <w:highlight w:val="none"/>
          <w:lang w:val="en-US" w:eastAsia="zh-CN"/>
        </w:rPr>
        <w:t>沙湾市安集海、西戈壁、博尔通古三乡镇清洁能源煤改电及基础设施建设项目1771万元</w:t>
      </w:r>
      <w:r>
        <w:rPr>
          <w:rFonts w:hint="eastAsia" w:ascii="仿宋_GB2312" w:eastAsia="仿宋_GB2312"/>
          <w:color w:val="auto"/>
          <w:spacing w:val="0"/>
          <w:sz w:val="32"/>
          <w:szCs w:val="32"/>
          <w:highlight w:val="none"/>
          <w:lang w:eastAsia="zh-CN"/>
        </w:rPr>
        <w:t>，所以决算数比年初预算数增加。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2023年度一般公共预算财政拨款支出2,356.31万元，占本年支出合计的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减少20,563.74万元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下降89.72%,</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乡村振兴项目资金较上年减少，光上年实施的沙湾市农村基础设施建设项目（一期）项目资金13000万元，还有沙湾市农村基础设施建设项目9533万元，而今年实施的项目沙湾市博尔通古乡喀拉巴斯陶村自然沟整治项目260.3万元，沙湾市安集海、西戈壁、博尔通古三乡镇清洁能源煤改电及基础设施建设项目1771万元，所以</w:t>
      </w:r>
      <w:r>
        <w:rPr>
          <w:rFonts w:hint="eastAsia" w:ascii="仿宋_GB2312" w:eastAsia="仿宋_GB2312"/>
          <w:color w:val="auto"/>
          <w:spacing w:val="0"/>
          <w:sz w:val="32"/>
          <w:szCs w:val="32"/>
          <w:highlight w:val="none"/>
          <w:lang w:eastAsia="zh-CN"/>
        </w:rPr>
        <w:t>一般公共预算财政拨款支出</w:t>
      </w:r>
      <w:r>
        <w:rPr>
          <w:rFonts w:hint="eastAsia" w:ascii="仿宋_GB2312" w:eastAsia="仿宋_GB2312"/>
          <w:color w:val="auto"/>
          <w:spacing w:val="0"/>
          <w:sz w:val="32"/>
          <w:szCs w:val="32"/>
          <w:highlight w:val="none"/>
          <w:lang w:val="en-US" w:eastAsia="zh-CN"/>
        </w:rPr>
        <w:t>比上年减少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548.33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2,356.31</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329.72%</w:t>
      </w:r>
      <w:r>
        <w:rPr>
          <w:rFonts w:hint="eastAsia" w:ascii="仿宋_GB2312" w:eastAsia="仿宋_GB2312"/>
          <w:color w:val="auto"/>
          <w:spacing w:val="0"/>
          <w:sz w:val="32"/>
          <w:szCs w:val="32"/>
          <w:highlight w:val="none"/>
          <w:lang w:eastAsia="zh-CN"/>
        </w:rPr>
        <w:t>，主要原因是：2023年决算数增加了</w:t>
      </w:r>
      <w:r>
        <w:rPr>
          <w:rFonts w:hint="eastAsia" w:ascii="仿宋_GB2312" w:eastAsia="仿宋_GB2312"/>
          <w:color w:val="auto"/>
          <w:spacing w:val="0"/>
          <w:sz w:val="32"/>
          <w:szCs w:val="32"/>
          <w:highlight w:val="none"/>
          <w:lang w:val="en-US" w:eastAsia="zh-CN"/>
        </w:rPr>
        <w:t>沙湾市安集海、西戈壁、博尔通古三乡镇清洁能源煤改电及基础设施建设项目1771万元</w:t>
      </w:r>
      <w:r>
        <w:rPr>
          <w:rFonts w:hint="eastAsia" w:ascii="仿宋_GB2312" w:eastAsia="仿宋_GB2312"/>
          <w:color w:val="auto"/>
          <w:spacing w:val="0"/>
          <w:sz w:val="32"/>
          <w:szCs w:val="32"/>
          <w:highlight w:val="none"/>
          <w:lang w:eastAsia="zh-CN"/>
        </w:rPr>
        <w:t>，所以决算数比年初预算数增加。</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25.91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1.10%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12.83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0.54%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hAnsi="仿宋_GB2312" w:eastAsia="仿宋_GB2312" w:cs="仿宋_GB2312"/>
          <w:color w:val="auto"/>
          <w:spacing w:val="0"/>
          <w:kern w:val="2"/>
          <w:sz w:val="32"/>
          <w:szCs w:val="32"/>
          <w:highlight w:val="none"/>
          <w:lang w:val="en-US" w:eastAsia="zh-CN" w:bidi="ar-SA"/>
        </w:rPr>
        <w:t>3</w:t>
      </w:r>
      <w:r>
        <w:rPr>
          <w:rFonts w:hint="eastAsia" w:ascii="仿宋_GB2312" w:hAnsi="仿宋_GB2312" w:eastAsia="仿宋_GB2312" w:cs="仿宋_GB2312"/>
          <w:color w:val="auto"/>
          <w:spacing w:val="0"/>
          <w:kern w:val="2"/>
          <w:sz w:val="32"/>
          <w:szCs w:val="32"/>
          <w:highlight w:val="none"/>
          <w:lang w:val="zh-CN" w:eastAsia="zh-CN" w:bidi="ar-SA"/>
        </w:rPr>
        <w:t>.农林水支出（类）2,297.18万元，占</w:t>
      </w:r>
      <w:r>
        <w:rPr>
          <w:rFonts w:hint="eastAsia" w:ascii="仿宋_GB2312" w:eastAsia="仿宋_GB2312" w:cs="Times New Roman"/>
          <w:color w:val="auto"/>
          <w:spacing w:val="0"/>
          <w:kern w:val="2"/>
          <w:sz w:val="32"/>
          <w:szCs w:val="32"/>
          <w:highlight w:val="none"/>
          <w:lang w:val="zh-CN" w:eastAsia="zh-CN" w:bidi="ar-SA"/>
        </w:rPr>
        <w:t>97.49%</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20.38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0.86%</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农林水支出（类）巩固脱贫攻坚成果衔接乡村振兴（款）行政运行（项）:支出决算数为87.95万元，比上年决算减少4.73万元，下降5.10%，主要原因是：2022年行政运行92.68万元，本年度将行政运行与事业运行分开核算，行政运行87.95万元，事业运行128.31万元</w:t>
      </w:r>
      <w:r>
        <w:rPr>
          <w:rFonts w:hint="eastAsia" w:ascii="仿宋_GB2312" w:hAnsi="仿宋_GB2312" w:eastAsia="仿宋_GB2312" w:cs="仿宋_GB2312"/>
          <w:color w:val="auto"/>
          <w:kern w:val="2"/>
          <w:sz w:val="32"/>
          <w:szCs w:val="32"/>
          <w:highlight w:val="none"/>
          <w:lang w:val="en-US" w:eastAsia="zh-CN" w:bidi="ar-SA"/>
        </w:rPr>
        <w:t>，因此行政运行比上年决算减少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2.卫生健康支出（类）行政事业单位医疗（款）行政单位医疗（项）:支出决算数为4.08万元，比上年决算增加2.55万元，增长166.67%，主要原因是：</w:t>
      </w:r>
      <w:r>
        <w:rPr>
          <w:rFonts w:hint="eastAsia" w:ascii="仿宋_GB2312" w:hAnsi="仿宋_GB2312" w:eastAsia="仿宋_GB2312" w:cs="仿宋_GB2312"/>
          <w:spacing w:val="7"/>
          <w:sz w:val="32"/>
          <w:szCs w:val="32"/>
          <w:highlight w:val="none"/>
          <w:lang w:val="en-US" w:eastAsia="zh-CN"/>
        </w:rPr>
        <w:t>2022年</w:t>
      </w:r>
      <w:r>
        <w:rPr>
          <w:rFonts w:hint="eastAsia" w:ascii="仿宋_GB2312" w:hAnsi="仿宋_GB2312" w:eastAsia="仿宋_GB2312" w:cs="仿宋_GB2312"/>
          <w:color w:val="auto"/>
          <w:kern w:val="2"/>
          <w:sz w:val="32"/>
          <w:szCs w:val="32"/>
          <w:highlight w:val="none"/>
          <w:lang w:val="en-US" w:eastAsia="zh-CN" w:bidi="ar-SA"/>
        </w:rPr>
        <w:t>行政单位医疗从</w:t>
      </w:r>
      <w:r>
        <w:rPr>
          <w:rFonts w:hint="eastAsia" w:ascii="仿宋_GB2312" w:hAnsi="仿宋_GB2312" w:eastAsia="仿宋_GB2312" w:cs="仿宋_GB2312"/>
          <w:spacing w:val="7"/>
          <w:sz w:val="32"/>
          <w:szCs w:val="32"/>
          <w:highlight w:val="none"/>
          <w:lang w:val="en-US" w:eastAsia="zh-CN"/>
        </w:rPr>
        <w:t>6月开始的，2023年</w:t>
      </w:r>
      <w:r>
        <w:rPr>
          <w:rFonts w:hint="eastAsia" w:ascii="仿宋_GB2312" w:hAnsi="仿宋_GB2312" w:eastAsia="仿宋_GB2312" w:cs="仿宋_GB2312"/>
          <w:color w:val="auto"/>
          <w:kern w:val="2"/>
          <w:sz w:val="32"/>
          <w:szCs w:val="32"/>
          <w:highlight w:val="none"/>
          <w:lang w:val="en-US" w:eastAsia="zh-CN" w:bidi="ar-SA"/>
        </w:rPr>
        <w:t>行政单位医疗是全年的，因此行政单位医疗比上年决算增加</w:t>
      </w:r>
      <w:r>
        <w:rPr>
          <w:rFonts w:hint="eastAsia" w:ascii="仿宋_GB2312" w:hAnsi="仿宋_GB2312" w:eastAsia="仿宋_GB2312" w:cs="仿宋_GB2312"/>
          <w:spacing w:val="7"/>
          <w:sz w:val="32"/>
          <w:szCs w:val="32"/>
          <w:highlight w:val="none"/>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3.卫生健康支出（类）行政事业单位医疗（款）事业单位医疗（项）:支出决算数为7.03万元，比上年决算增加3.35万元，增长91.03%，主要原因是：</w:t>
      </w:r>
      <w:r>
        <w:rPr>
          <w:rFonts w:hint="eastAsia" w:ascii="仿宋_GB2312" w:hAnsi="仿宋_GB2312" w:eastAsia="仿宋_GB2312" w:cs="仿宋_GB2312"/>
          <w:spacing w:val="7"/>
          <w:sz w:val="32"/>
          <w:szCs w:val="32"/>
          <w:highlight w:val="none"/>
          <w:lang w:val="en-US" w:eastAsia="zh-CN"/>
        </w:rPr>
        <w:t>2022年</w:t>
      </w:r>
      <w:r>
        <w:rPr>
          <w:rFonts w:hint="eastAsia" w:ascii="仿宋_GB2312" w:hAnsi="仿宋_GB2312" w:eastAsia="仿宋_GB2312" w:cs="仿宋_GB2312"/>
          <w:color w:val="auto"/>
          <w:kern w:val="2"/>
          <w:sz w:val="32"/>
          <w:szCs w:val="32"/>
          <w:highlight w:val="none"/>
          <w:lang w:val="en-US" w:eastAsia="zh-CN" w:bidi="ar-SA"/>
        </w:rPr>
        <w:t>事业单位医疗从</w:t>
      </w:r>
      <w:r>
        <w:rPr>
          <w:rFonts w:hint="eastAsia" w:ascii="仿宋_GB2312" w:hAnsi="仿宋_GB2312" w:eastAsia="仿宋_GB2312" w:cs="仿宋_GB2312"/>
          <w:spacing w:val="7"/>
          <w:sz w:val="32"/>
          <w:szCs w:val="32"/>
          <w:highlight w:val="none"/>
          <w:lang w:val="en-US" w:eastAsia="zh-CN"/>
        </w:rPr>
        <w:t>6月开始的，2023年</w:t>
      </w:r>
      <w:r>
        <w:rPr>
          <w:rFonts w:hint="eastAsia" w:ascii="仿宋_GB2312" w:hAnsi="仿宋_GB2312" w:eastAsia="仿宋_GB2312" w:cs="仿宋_GB2312"/>
          <w:color w:val="auto"/>
          <w:kern w:val="2"/>
          <w:sz w:val="32"/>
          <w:szCs w:val="32"/>
          <w:highlight w:val="none"/>
          <w:lang w:val="en-US" w:eastAsia="zh-CN" w:bidi="ar-SA"/>
        </w:rPr>
        <w:t>事业单位医疗是全年的，因此事业单位医疗比上年决算增加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4.卫生健康支出（类）行政事业单位医疗（款）公务员医疗补助（项）:支出决算数为1.72万元，比上年决算增加0.95万元，增长123.38%，主要原因是：</w:t>
      </w:r>
      <w:r>
        <w:rPr>
          <w:rFonts w:hint="eastAsia" w:ascii="仿宋_GB2312" w:hAnsi="仿宋_GB2312" w:eastAsia="仿宋_GB2312" w:cs="仿宋_GB2312"/>
          <w:spacing w:val="7"/>
          <w:sz w:val="32"/>
          <w:szCs w:val="32"/>
          <w:highlight w:val="none"/>
          <w:lang w:val="en-US" w:eastAsia="zh-CN"/>
        </w:rPr>
        <w:t>2022年</w:t>
      </w:r>
      <w:r>
        <w:rPr>
          <w:rFonts w:hint="eastAsia" w:ascii="仿宋_GB2312" w:hAnsi="仿宋_GB2312" w:eastAsia="仿宋_GB2312" w:cs="仿宋_GB2312"/>
          <w:color w:val="auto"/>
          <w:kern w:val="2"/>
          <w:sz w:val="32"/>
          <w:szCs w:val="32"/>
          <w:highlight w:val="none"/>
          <w:lang w:val="en-US" w:eastAsia="zh-CN" w:bidi="ar-SA"/>
        </w:rPr>
        <w:t>公务员医疗补助从</w:t>
      </w:r>
      <w:r>
        <w:rPr>
          <w:rFonts w:hint="eastAsia" w:ascii="仿宋_GB2312" w:hAnsi="仿宋_GB2312" w:eastAsia="仿宋_GB2312" w:cs="仿宋_GB2312"/>
          <w:spacing w:val="7"/>
          <w:sz w:val="32"/>
          <w:szCs w:val="32"/>
          <w:highlight w:val="none"/>
          <w:lang w:val="en-US" w:eastAsia="zh-CN"/>
        </w:rPr>
        <w:t>6月开始的，2023年</w:t>
      </w:r>
      <w:r>
        <w:rPr>
          <w:rFonts w:hint="eastAsia" w:ascii="仿宋_GB2312" w:hAnsi="仿宋_GB2312" w:eastAsia="仿宋_GB2312" w:cs="仿宋_GB2312"/>
          <w:color w:val="auto"/>
          <w:kern w:val="2"/>
          <w:sz w:val="32"/>
          <w:szCs w:val="32"/>
          <w:highlight w:val="none"/>
          <w:lang w:val="en-US" w:eastAsia="zh-CN" w:bidi="ar-SA"/>
        </w:rPr>
        <w:t>公务员医疗补助是全年的，因此公务员医疗补助比上年决算增加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5.农林水支出（类）巩固脱贫攻坚成果衔接乡村振兴（款）生产发展（项）:支出决算数为309.92万元，比上年决算减少9,223.08万元，下降96.75%，主要原因是：</w:t>
      </w:r>
      <w:r>
        <w:rPr>
          <w:rFonts w:hint="eastAsia" w:ascii="仿宋_GB2312" w:eastAsia="仿宋_GB2312"/>
          <w:color w:val="auto"/>
          <w:spacing w:val="0"/>
          <w:sz w:val="32"/>
          <w:szCs w:val="32"/>
          <w:highlight w:val="none"/>
          <w:lang w:val="en-US" w:eastAsia="zh-CN"/>
        </w:rPr>
        <w:t>2023年</w:t>
      </w:r>
      <w:r>
        <w:rPr>
          <w:rFonts w:hint="eastAsia" w:ascii="仿宋_GB2312" w:hAnsi="仿宋_GB2312" w:eastAsia="仿宋_GB2312" w:cs="仿宋_GB2312"/>
          <w:color w:val="auto"/>
          <w:kern w:val="2"/>
          <w:sz w:val="32"/>
          <w:szCs w:val="32"/>
          <w:highlight w:val="none"/>
          <w:lang w:val="en-US" w:eastAsia="zh-CN" w:bidi="ar-SA"/>
        </w:rPr>
        <w:t>生产发展</w:t>
      </w:r>
      <w:r>
        <w:rPr>
          <w:rFonts w:hint="eastAsia" w:ascii="仿宋_GB2312" w:eastAsia="仿宋_GB2312"/>
          <w:color w:val="auto"/>
          <w:spacing w:val="0"/>
          <w:sz w:val="32"/>
          <w:szCs w:val="32"/>
          <w:highlight w:val="none"/>
          <w:lang w:val="en-US" w:eastAsia="zh-CN"/>
        </w:rPr>
        <w:t>项目资金较上年减少，光2022年实施的沙湾市农村基础设施建设项目9533万元，所以本年</w:t>
      </w:r>
      <w:r>
        <w:rPr>
          <w:rFonts w:hint="eastAsia" w:ascii="仿宋_GB2312" w:hAnsi="仿宋_GB2312" w:eastAsia="仿宋_GB2312" w:cs="仿宋_GB2312"/>
          <w:color w:val="auto"/>
          <w:kern w:val="2"/>
          <w:sz w:val="32"/>
          <w:szCs w:val="32"/>
          <w:highlight w:val="none"/>
          <w:lang w:val="en-US" w:eastAsia="zh-CN" w:bidi="ar-SA"/>
        </w:rPr>
        <w:t>生产发展</w:t>
      </w:r>
      <w:r>
        <w:rPr>
          <w:rFonts w:hint="eastAsia" w:ascii="仿宋_GB2312" w:eastAsia="仿宋_GB2312"/>
          <w:color w:val="auto"/>
          <w:spacing w:val="0"/>
          <w:sz w:val="32"/>
          <w:szCs w:val="32"/>
          <w:highlight w:val="none"/>
          <w:lang w:val="en-US" w:eastAsia="zh-CN"/>
        </w:rPr>
        <w:t>支出比上年减少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6.住房保障支出（类）住房改革支出（款）住房公积金（项）:支出决算数为20.38万元，比上年决算增加10.79万元，增长112.51%，主要原因是：</w:t>
      </w:r>
      <w:r>
        <w:rPr>
          <w:rFonts w:hint="eastAsia" w:ascii="仿宋_GB2312" w:hAnsi="仿宋_GB2312" w:eastAsia="仿宋_GB2312" w:cs="仿宋_GB2312"/>
          <w:spacing w:val="7"/>
          <w:sz w:val="32"/>
          <w:szCs w:val="32"/>
          <w:highlight w:val="none"/>
          <w:lang w:val="en-US" w:eastAsia="zh-CN"/>
        </w:rPr>
        <w:t>2022年</w:t>
      </w:r>
      <w:r>
        <w:rPr>
          <w:rFonts w:hint="eastAsia" w:ascii="仿宋_GB2312" w:hAnsi="仿宋_GB2312" w:eastAsia="仿宋_GB2312" w:cs="仿宋_GB2312"/>
          <w:color w:val="auto"/>
          <w:kern w:val="2"/>
          <w:sz w:val="32"/>
          <w:szCs w:val="32"/>
          <w:highlight w:val="none"/>
          <w:lang w:val="en-US" w:eastAsia="zh-CN" w:bidi="ar-SA"/>
        </w:rPr>
        <w:t>住房公积金从</w:t>
      </w:r>
      <w:r>
        <w:rPr>
          <w:rFonts w:hint="eastAsia" w:ascii="仿宋_GB2312" w:hAnsi="仿宋_GB2312" w:eastAsia="仿宋_GB2312" w:cs="仿宋_GB2312"/>
          <w:spacing w:val="7"/>
          <w:sz w:val="32"/>
          <w:szCs w:val="32"/>
          <w:highlight w:val="none"/>
          <w:lang w:val="en-US" w:eastAsia="zh-CN"/>
        </w:rPr>
        <w:t>6月开始的，2023年</w:t>
      </w:r>
      <w:r>
        <w:rPr>
          <w:rFonts w:hint="eastAsia" w:ascii="仿宋_GB2312" w:hAnsi="仿宋_GB2312" w:eastAsia="仿宋_GB2312" w:cs="仿宋_GB2312"/>
          <w:color w:val="auto"/>
          <w:kern w:val="2"/>
          <w:sz w:val="32"/>
          <w:szCs w:val="32"/>
          <w:highlight w:val="none"/>
          <w:lang w:val="en-US" w:eastAsia="zh-CN" w:bidi="ar-SA"/>
        </w:rPr>
        <w:t>住房公积金是全年的，因此住房公积金比上年决算增加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7.农林水支出（类）巩固脱贫攻坚成果衔接乡村振兴（款）农村基础设施建设（项）:支出决算数为1,771.00万元，比上年决算减少11,289.00万元，下降86.44%，主要原因是：</w:t>
      </w:r>
      <w:r>
        <w:rPr>
          <w:rFonts w:hint="eastAsia" w:ascii="仿宋_GB2312" w:eastAsia="仿宋_GB2312"/>
          <w:color w:val="auto"/>
          <w:spacing w:val="0"/>
          <w:sz w:val="32"/>
          <w:szCs w:val="32"/>
          <w:highlight w:val="none"/>
          <w:lang w:val="en-US" w:eastAsia="zh-CN"/>
        </w:rPr>
        <w:t>2023年乡村振兴项目资金较上年减少，并且2022年实施的沙湾市农村基础设施建设项目（一期）金额比较大，项目资金13000万元，所以本年</w:t>
      </w:r>
      <w:r>
        <w:rPr>
          <w:rFonts w:hint="eastAsia" w:ascii="仿宋_GB2312" w:hAnsi="仿宋_GB2312" w:eastAsia="仿宋_GB2312" w:cs="仿宋_GB2312"/>
          <w:color w:val="auto"/>
          <w:kern w:val="2"/>
          <w:sz w:val="32"/>
          <w:szCs w:val="32"/>
          <w:highlight w:val="none"/>
          <w:lang w:val="en-US" w:eastAsia="zh-CN" w:bidi="ar-SA"/>
        </w:rPr>
        <w:t>农村基础设施建设</w:t>
      </w:r>
      <w:r>
        <w:rPr>
          <w:rFonts w:hint="eastAsia" w:ascii="仿宋_GB2312" w:eastAsia="仿宋_GB2312"/>
          <w:color w:val="auto"/>
          <w:spacing w:val="0"/>
          <w:sz w:val="32"/>
          <w:szCs w:val="32"/>
          <w:highlight w:val="none"/>
          <w:lang w:val="en-US" w:eastAsia="zh-CN"/>
        </w:rPr>
        <w:t>支出比上年减少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农林水支出（类）巩固脱贫攻坚成果衔接乡村振兴（款）事业运行（项）:支出决算数为128.31万元，比上年决算增加128.31万元，增长100%，主要原因是：2022年行政运行92.68万元，本年度将行政运行与事业运行分开核算，行政运行87.95万元，事业运行128.31万元，因此事业运行比上年决算增加</w:t>
      </w:r>
      <w:r>
        <w:rPr>
          <w:rFonts w:hint="eastAsia" w:ascii="仿宋_GB2312" w:hAnsi="仿宋_GB2312" w:eastAsia="仿宋_GB2312" w:cs="仿宋_GB2312"/>
          <w:color w:val="auto"/>
          <w:kern w:val="2"/>
          <w:sz w:val="32"/>
          <w:szCs w:val="32"/>
          <w:highlight w:val="none"/>
          <w:lang w:val="zh-CN" w:eastAsia="zh-CN" w:bidi="ar-SA"/>
        </w:rPr>
        <w:t>。</w:t>
      </w:r>
      <w:bookmarkStart w:id="48" w:name="_GoBack"/>
      <w:bookmarkEnd w:id="48"/>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9.社会保障和就业支出（类）行政事业单位养老支出（款）机关事业单位基本养老保险缴费支出（项）:支出决算数为25.91万元，比上年决算增加15.23万元，增长142.60%，主要原因是：</w:t>
      </w:r>
      <w:r>
        <w:rPr>
          <w:rFonts w:hint="eastAsia" w:ascii="仿宋_GB2312" w:hAnsi="仿宋_GB2312" w:eastAsia="仿宋_GB2312" w:cs="仿宋_GB2312"/>
          <w:spacing w:val="7"/>
          <w:sz w:val="32"/>
          <w:szCs w:val="32"/>
          <w:highlight w:val="none"/>
          <w:lang w:val="en-US" w:eastAsia="zh-CN"/>
        </w:rPr>
        <w:t>2022年</w:t>
      </w:r>
      <w:r>
        <w:rPr>
          <w:rFonts w:hint="eastAsia" w:ascii="仿宋_GB2312" w:hAnsi="仿宋_GB2312" w:eastAsia="仿宋_GB2312" w:cs="仿宋_GB2312"/>
          <w:color w:val="auto"/>
          <w:kern w:val="2"/>
          <w:sz w:val="32"/>
          <w:szCs w:val="32"/>
          <w:highlight w:val="none"/>
          <w:lang w:val="en-US" w:eastAsia="zh-CN" w:bidi="ar-SA"/>
        </w:rPr>
        <w:t>机关事业单位基本养老保险缴费支出从</w:t>
      </w:r>
      <w:r>
        <w:rPr>
          <w:rFonts w:hint="eastAsia" w:ascii="仿宋_GB2312" w:hAnsi="仿宋_GB2312" w:eastAsia="仿宋_GB2312" w:cs="仿宋_GB2312"/>
          <w:spacing w:val="7"/>
          <w:sz w:val="32"/>
          <w:szCs w:val="32"/>
          <w:highlight w:val="none"/>
          <w:lang w:val="en-US" w:eastAsia="zh-CN"/>
        </w:rPr>
        <w:t>6月开始的，2023年</w:t>
      </w:r>
      <w:r>
        <w:rPr>
          <w:rFonts w:hint="eastAsia" w:ascii="仿宋_GB2312" w:hAnsi="仿宋_GB2312" w:eastAsia="仿宋_GB2312" w:cs="仿宋_GB2312"/>
          <w:color w:val="auto"/>
          <w:kern w:val="2"/>
          <w:sz w:val="32"/>
          <w:szCs w:val="32"/>
          <w:highlight w:val="none"/>
          <w:lang w:val="en-US" w:eastAsia="zh-CN" w:bidi="ar-SA"/>
        </w:rPr>
        <w:t>机关事业单位基本养老保险缴费支出是全年的，因此机关事业单位基本养老保险缴费支出比上年决算增加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10.节能环保支出（类）自然生态保护（款）农村环境保护（项）:支出决算数为0.00万元，比上年决算减少208.12万元，下降100%，主要原因是：2023年未安排农村环境保护方面项目</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275.38</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259.55</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基本工资、津贴补贴、奖金、绩效工资、机关事业单位基本养老保险缴费、职工基本医疗保险缴费、公务员医疗补助缴费、其他社会保障缴费、住房公积金、奖励金。</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15.83</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办公费、水费、电费、邮电费、差旅费、培训费、公务接待费、工会经费、其他交通费用。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“三公”经费支出0.23万元，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增加0.23万元，</w:t>
      </w:r>
      <w:r>
        <w:rPr>
          <w:rFonts w:hint="eastAsia" w:ascii="仿宋_GB2312" w:eastAsia="仿宋_GB2312"/>
          <w:color w:val="auto"/>
          <w:spacing w:val="0"/>
          <w:sz w:val="32"/>
          <w:szCs w:val="32"/>
          <w:highlight w:val="none"/>
          <w:lang w:val="en-US" w:eastAsia="zh-CN"/>
        </w:rPr>
        <w:t>增长100.00%,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2023年公务接待费为</w:t>
      </w:r>
      <w:r>
        <w:rPr>
          <w:rFonts w:hint="eastAsia" w:ascii="仿宋_GB2312" w:eastAsia="仿宋_GB2312"/>
          <w:color w:val="auto"/>
          <w:sz w:val="32"/>
          <w:szCs w:val="32"/>
          <w:highlight w:val="none"/>
          <w:lang w:eastAsia="zh-CN"/>
        </w:rPr>
        <w:t>莎车县乡村振兴局组织30名乡村振兴干部对我市乡村振兴建设示范点进行观摩学习，接待午餐；自治区领导及北京农村改厕专家来沙湾市调研工作接待午餐</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hAnsi="宋体" w:eastAsia="仿宋_GB2312" w:cs="宋体"/>
          <w:snapToGrid w:val="0"/>
          <w:color w:val="000000"/>
          <w:kern w:val="0"/>
          <w:sz w:val="32"/>
          <w:szCs w:val="32"/>
          <w:lang w:val="en-US" w:eastAsia="en-US" w:bidi="ar-SA"/>
        </w:rPr>
        <w:t>2023</w:t>
      </w:r>
      <w:r>
        <w:rPr>
          <w:rFonts w:hint="eastAsia" w:ascii="仿宋_GB2312" w:hAnsi="宋体" w:eastAsia="仿宋_GB2312" w:cs="宋体"/>
          <w:snapToGrid w:val="0"/>
          <w:color w:val="000000"/>
          <w:kern w:val="0"/>
          <w:sz w:val="32"/>
          <w:szCs w:val="32"/>
          <w:lang w:val="en-US" w:eastAsia="zh-CN" w:bidi="ar-SA"/>
        </w:rPr>
        <w:t>年</w:t>
      </w:r>
      <w:r>
        <w:rPr>
          <w:rFonts w:hint="eastAsia" w:ascii="仿宋_GB2312" w:hAnsi="宋体" w:eastAsia="仿宋_GB2312" w:cs="宋体"/>
          <w:snapToGrid w:val="0"/>
          <w:color w:val="000000"/>
          <w:kern w:val="0"/>
          <w:sz w:val="32"/>
          <w:szCs w:val="32"/>
          <w:lang w:val="en-US" w:eastAsia="en-US" w:bidi="ar-SA"/>
        </w:rPr>
        <w:t>我单位因公出国（境）费0.00</w:t>
      </w:r>
      <w:r>
        <w:rPr>
          <w:rFonts w:hint="eastAsia" w:ascii="仿宋_GB2312" w:hAnsi="宋体" w:eastAsia="仿宋_GB2312" w:cs="宋体"/>
          <w:snapToGrid w:val="0"/>
          <w:color w:val="000000"/>
          <w:kern w:val="0"/>
          <w:sz w:val="32"/>
          <w:szCs w:val="32"/>
          <w:lang w:val="en-US" w:eastAsia="zh-CN" w:bidi="ar-SA"/>
        </w:rPr>
        <w:t>万</w:t>
      </w:r>
      <w:r>
        <w:rPr>
          <w:rFonts w:hint="eastAsia" w:ascii="仿宋_GB2312" w:hAnsi="宋体" w:eastAsia="仿宋_GB2312" w:cs="宋体"/>
          <w:snapToGrid w:val="0"/>
          <w:color w:val="000000"/>
          <w:kern w:val="0"/>
          <w:sz w:val="32"/>
          <w:szCs w:val="32"/>
          <w:lang w:val="en-US" w:eastAsia="en-US" w:bidi="ar-SA"/>
        </w:rPr>
        <w:t>元,未</w:t>
      </w:r>
      <w:r>
        <w:rPr>
          <w:rFonts w:hint="eastAsia" w:ascii="仿宋_GB2312" w:hAnsi="宋体" w:eastAsia="仿宋_GB2312" w:cs="宋体"/>
          <w:snapToGrid w:val="0"/>
          <w:color w:val="000000"/>
          <w:kern w:val="0"/>
          <w:sz w:val="32"/>
          <w:szCs w:val="32"/>
          <w:lang w:val="en-US" w:eastAsia="zh-CN" w:bidi="ar-SA"/>
        </w:rPr>
        <w:t>发生费用</w:t>
      </w:r>
      <w:r>
        <w:rPr>
          <w:rFonts w:hint="eastAsia" w:ascii="仿宋_GB2312" w:eastAsia="仿宋_GB2312"/>
          <w:color w:val="auto"/>
          <w:sz w:val="32"/>
          <w:szCs w:val="32"/>
          <w:highlight w:val="none"/>
          <w:lang w:val="zh-CN" w:eastAsia="zh-CN"/>
        </w:rPr>
        <w:t>；公务用车购置及运行维护费支出0.00万元，占0.00%，比上年增加0.00万元，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hAnsi="宋体" w:eastAsia="仿宋_GB2312" w:cs="宋体"/>
          <w:snapToGrid w:val="0"/>
          <w:color w:val="000000"/>
          <w:kern w:val="0"/>
          <w:sz w:val="32"/>
          <w:szCs w:val="32"/>
          <w:lang w:val="en-US" w:eastAsia="en-US" w:bidi="ar-SA"/>
        </w:rPr>
        <w:t>2023</w:t>
      </w:r>
      <w:r>
        <w:rPr>
          <w:rFonts w:hint="eastAsia" w:ascii="仿宋_GB2312" w:hAnsi="宋体" w:eastAsia="仿宋_GB2312" w:cs="宋体"/>
          <w:snapToGrid w:val="0"/>
          <w:color w:val="000000"/>
          <w:kern w:val="0"/>
          <w:sz w:val="32"/>
          <w:szCs w:val="32"/>
          <w:lang w:val="en-US" w:eastAsia="zh-CN" w:bidi="ar-SA"/>
        </w:rPr>
        <w:t>年</w:t>
      </w:r>
      <w:r>
        <w:rPr>
          <w:rFonts w:hint="eastAsia" w:ascii="仿宋_GB2312" w:hAnsi="宋体" w:eastAsia="仿宋_GB2312" w:cs="宋体"/>
          <w:snapToGrid w:val="0"/>
          <w:color w:val="000000"/>
          <w:kern w:val="0"/>
          <w:sz w:val="32"/>
          <w:szCs w:val="32"/>
          <w:lang w:val="en-US" w:eastAsia="en-US" w:bidi="ar-SA"/>
        </w:rPr>
        <w:t>我单位公务用车购置费0.00</w:t>
      </w:r>
      <w:r>
        <w:rPr>
          <w:rFonts w:hint="eastAsia" w:ascii="仿宋_GB2312" w:hAnsi="宋体" w:eastAsia="仿宋_GB2312" w:cs="宋体"/>
          <w:snapToGrid w:val="0"/>
          <w:color w:val="000000"/>
          <w:kern w:val="0"/>
          <w:sz w:val="32"/>
          <w:szCs w:val="32"/>
          <w:lang w:val="en-US" w:eastAsia="zh-CN" w:bidi="ar-SA"/>
        </w:rPr>
        <w:t>万</w:t>
      </w:r>
      <w:r>
        <w:rPr>
          <w:rFonts w:hint="eastAsia" w:ascii="仿宋_GB2312" w:hAnsi="宋体" w:eastAsia="仿宋_GB2312" w:cs="宋体"/>
          <w:snapToGrid w:val="0"/>
          <w:color w:val="000000"/>
          <w:kern w:val="0"/>
          <w:sz w:val="32"/>
          <w:szCs w:val="32"/>
          <w:lang w:val="en-US" w:eastAsia="en-US" w:bidi="ar-SA"/>
        </w:rPr>
        <w:t>元,未</w:t>
      </w:r>
      <w:r>
        <w:rPr>
          <w:rFonts w:hint="eastAsia" w:ascii="仿宋_GB2312" w:hAnsi="宋体" w:eastAsia="仿宋_GB2312" w:cs="宋体"/>
          <w:snapToGrid w:val="0"/>
          <w:color w:val="000000"/>
          <w:kern w:val="0"/>
          <w:sz w:val="32"/>
          <w:szCs w:val="32"/>
          <w:lang w:val="en-US" w:eastAsia="zh-CN" w:bidi="ar-SA"/>
        </w:rPr>
        <w:t>发生费用</w:t>
      </w:r>
      <w:r>
        <w:rPr>
          <w:rFonts w:hint="eastAsia" w:ascii="仿宋_GB2312" w:eastAsia="仿宋_GB2312"/>
          <w:color w:val="auto"/>
          <w:sz w:val="32"/>
          <w:szCs w:val="32"/>
          <w:highlight w:val="none"/>
          <w:lang w:val="zh-CN" w:eastAsia="zh-CN"/>
        </w:rPr>
        <w:t>；公务接待费支出0.23万元，占100.00%，比上年增加0.23万元，</w:t>
      </w:r>
      <w:r>
        <w:rPr>
          <w:rFonts w:hint="eastAsia" w:ascii="仿宋_GB2312" w:eastAsia="仿宋_GB2312"/>
          <w:color w:val="auto"/>
          <w:spacing w:val="0"/>
          <w:sz w:val="32"/>
          <w:szCs w:val="32"/>
          <w:highlight w:val="none"/>
          <w:lang w:val="en-US" w:eastAsia="zh-CN"/>
        </w:rPr>
        <w:t>增长100.00%,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2023年公务接待费为</w:t>
      </w:r>
      <w:r>
        <w:rPr>
          <w:rFonts w:hint="eastAsia" w:ascii="仿宋_GB2312" w:eastAsia="仿宋_GB2312"/>
          <w:color w:val="auto"/>
          <w:sz w:val="32"/>
          <w:szCs w:val="32"/>
          <w:highlight w:val="none"/>
          <w:lang w:eastAsia="zh-CN"/>
        </w:rPr>
        <w:t>莎车县乡村振兴局组织30名乡村振兴干部对我市乡村振兴建设示范点进行观摩学习，接待午餐</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highlight w:val="none"/>
        </w:rPr>
        <w:t>我单位无因公出国（境）费支出</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highlight w:val="none"/>
        </w:rPr>
        <w:t>我单位无</w:t>
      </w:r>
      <w:r>
        <w:rPr>
          <w:rFonts w:hint="eastAsia" w:ascii="仿宋_GB2312" w:eastAsia="仿宋_GB2312"/>
          <w:color w:val="auto"/>
          <w:sz w:val="32"/>
          <w:szCs w:val="32"/>
          <w:highlight w:val="none"/>
          <w:lang w:val="zh-CN" w:eastAsia="zh-CN"/>
        </w:rPr>
        <w:t>公务用车购置及运行维护费。公务用车购置数0辆，公务用车保有量0辆。国有资产占用情况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0辆，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sz w:val="32"/>
          <w:szCs w:val="32"/>
          <w:highlight w:val="none"/>
        </w:rPr>
        <w:t>我单位无</w:t>
      </w:r>
      <w:r>
        <w:rPr>
          <w:rFonts w:hint="eastAsia" w:ascii="仿宋_GB2312" w:eastAsia="仿宋_GB2312"/>
          <w:color w:val="auto"/>
          <w:sz w:val="32"/>
          <w:szCs w:val="32"/>
          <w:highlight w:val="none"/>
          <w:lang w:val="zh-CN" w:eastAsia="zh-CN"/>
        </w:rPr>
        <w:t>公务用车。</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公务接待费0.23万元，开支内容包括</w:t>
      </w:r>
      <w:r>
        <w:rPr>
          <w:rFonts w:hint="eastAsia" w:ascii="仿宋_GB2312" w:eastAsia="仿宋_GB2312"/>
          <w:color w:val="auto"/>
          <w:sz w:val="32"/>
          <w:szCs w:val="32"/>
          <w:highlight w:val="none"/>
          <w:lang w:val="en-US" w:eastAsia="zh-CN"/>
        </w:rPr>
        <w:t>2023年公务接待费为</w:t>
      </w:r>
      <w:r>
        <w:rPr>
          <w:rFonts w:hint="eastAsia" w:ascii="仿宋_GB2312" w:eastAsia="仿宋_GB2312"/>
          <w:color w:val="auto"/>
          <w:sz w:val="32"/>
          <w:szCs w:val="32"/>
          <w:highlight w:val="none"/>
          <w:lang w:eastAsia="zh-CN"/>
        </w:rPr>
        <w:t>莎车县乡村振兴局组织30名乡村振兴干部对我市乡村振兴建设示范点进行观摩学习，接待午餐</w:t>
      </w:r>
      <w:r>
        <w:rPr>
          <w:rFonts w:hint="eastAsia" w:ascii="仿宋_GB2312" w:eastAsia="仿宋_GB2312"/>
          <w:color w:val="auto"/>
          <w:sz w:val="32"/>
          <w:szCs w:val="32"/>
          <w:highlight w:val="none"/>
          <w:lang w:val="zh-CN" w:eastAsia="zh-CN"/>
        </w:rPr>
        <w:t>。单位全年安排的国内公务接待2批次，40人次。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预算数0.23万元，决算数0.23万元，预决算差异率0.00%，主要原因是：“三公”经费支出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eastAsia" w:ascii="仿宋_GB2312" w:hAnsi="宋体" w:eastAsia="仿宋_GB2312" w:cs="宋体"/>
          <w:kern w:val="0"/>
          <w:sz w:val="32"/>
          <w:szCs w:val="32"/>
          <w:highlight w:val="none"/>
        </w:rPr>
        <w:t>和决算数</w:t>
      </w:r>
      <w:r>
        <w:rPr>
          <w:rFonts w:hint="eastAsia" w:ascii="仿宋_GB2312" w:hAnsi="宋体" w:eastAsia="仿宋_GB2312" w:cs="宋体"/>
          <w:kern w:val="0"/>
          <w:sz w:val="32"/>
          <w:szCs w:val="32"/>
          <w:highlight w:val="none"/>
          <w:lang w:eastAsia="zh-CN"/>
        </w:rPr>
        <w:t>一致</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eastAsia="zh-CN"/>
        </w:rPr>
        <w:t>所以</w:t>
      </w:r>
      <w:r>
        <w:rPr>
          <w:rFonts w:hint="eastAsia" w:ascii="仿宋_GB2312" w:eastAsia="仿宋_GB2312"/>
          <w:color w:val="auto"/>
          <w:sz w:val="32"/>
          <w:szCs w:val="32"/>
          <w:highlight w:val="none"/>
          <w:lang w:val="zh-CN" w:eastAsia="zh-CN"/>
        </w:rPr>
        <w:t>预决算差异率0.00%。其中：因公出国（境）费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highlight w:val="none"/>
          <w:lang w:eastAsia="zh-CN"/>
        </w:rPr>
        <w:t>我单位无因公出国（境）费，预决算无差异率</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lang w:eastAsia="zh-CN"/>
        </w:rPr>
        <w:t>我单位无</w:t>
      </w:r>
      <w:r>
        <w:rPr>
          <w:rFonts w:hint="eastAsia" w:ascii="仿宋_GB2312" w:eastAsia="仿宋_GB2312"/>
          <w:color w:val="auto"/>
          <w:sz w:val="32"/>
          <w:szCs w:val="32"/>
          <w:highlight w:val="none"/>
          <w:lang w:val="zh-CN" w:eastAsia="zh-CN"/>
        </w:rPr>
        <w:t>公务用车购置费</w:t>
      </w:r>
      <w:r>
        <w:rPr>
          <w:rFonts w:hint="eastAsia" w:ascii="仿宋_GB2312" w:eastAsia="仿宋_GB2312"/>
          <w:sz w:val="32"/>
          <w:szCs w:val="32"/>
          <w:highlight w:val="none"/>
          <w:lang w:eastAsia="zh-CN"/>
        </w:rPr>
        <w:t>，预决算无差异率</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lang w:eastAsia="zh-CN"/>
        </w:rPr>
        <w:t>我单位无</w:t>
      </w:r>
      <w:r>
        <w:rPr>
          <w:rFonts w:hint="eastAsia" w:ascii="仿宋_GB2312" w:eastAsia="仿宋_GB2312"/>
          <w:color w:val="auto"/>
          <w:sz w:val="32"/>
          <w:szCs w:val="32"/>
          <w:highlight w:val="none"/>
          <w:lang w:val="zh-CN" w:eastAsia="zh-CN"/>
        </w:rPr>
        <w:t>公务用车运行费</w:t>
      </w:r>
      <w:r>
        <w:rPr>
          <w:rFonts w:hint="eastAsia" w:ascii="仿宋_GB2312" w:eastAsia="仿宋_GB2312"/>
          <w:sz w:val="32"/>
          <w:szCs w:val="32"/>
          <w:highlight w:val="none"/>
          <w:lang w:eastAsia="zh-CN"/>
        </w:rPr>
        <w:t>，预决算无差异率</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预算数0.23万元，决算数0.23万元，预决算差异率0.00%，主要原因是：公务接待费</w:t>
      </w:r>
      <w:r>
        <w:rPr>
          <w:rFonts w:hint="eastAsia" w:ascii="仿宋_GB2312" w:hAnsi="宋体" w:eastAsia="仿宋_GB2312" w:cs="宋体"/>
          <w:kern w:val="0"/>
          <w:sz w:val="32"/>
          <w:szCs w:val="32"/>
          <w:highlight w:val="none"/>
          <w:lang w:eastAsia="zh-CN"/>
        </w:rPr>
        <w:t>全年</w:t>
      </w:r>
      <w:r>
        <w:rPr>
          <w:rFonts w:hint="eastAsia" w:ascii="仿宋_GB2312" w:hAnsi="宋体" w:eastAsia="仿宋_GB2312" w:cs="宋体"/>
          <w:kern w:val="0"/>
          <w:sz w:val="32"/>
          <w:szCs w:val="32"/>
          <w:highlight w:val="none"/>
        </w:rPr>
        <w:t>预算数和决算数</w:t>
      </w:r>
      <w:r>
        <w:rPr>
          <w:rFonts w:hint="eastAsia" w:ascii="仿宋_GB2312" w:hAnsi="宋体" w:eastAsia="仿宋_GB2312" w:cs="宋体"/>
          <w:kern w:val="0"/>
          <w:sz w:val="32"/>
          <w:szCs w:val="32"/>
          <w:highlight w:val="none"/>
          <w:lang w:eastAsia="zh-CN"/>
        </w:rPr>
        <w:t>一致</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eastAsia="zh-CN"/>
        </w:rPr>
        <w:t>所以</w:t>
      </w:r>
      <w:r>
        <w:rPr>
          <w:rFonts w:hint="eastAsia" w:ascii="仿宋_GB2312" w:eastAsia="仿宋_GB2312"/>
          <w:color w:val="auto"/>
          <w:sz w:val="32"/>
          <w:szCs w:val="32"/>
          <w:highlight w:val="none"/>
          <w:lang w:val="zh-CN" w:eastAsia="zh-CN"/>
        </w:rPr>
        <w:t>预决算差异率0.00%。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24" w:name="_Toc227"/>
      <w:bookmarkStart w:id="25"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沙湾市乡村振兴局（行政单位和参照公务员法管理事业单位）机关运行经费支出15.83万元，</w:t>
      </w:r>
      <w:r>
        <w:rPr>
          <w:rFonts w:hint="eastAsia" w:ascii="仿宋_GB2312" w:hAnsi="仿宋_GB2312" w:eastAsia="仿宋_GB2312" w:cs="仿宋_GB2312"/>
          <w:color w:val="auto"/>
          <w:sz w:val="32"/>
          <w:szCs w:val="32"/>
          <w:highlight w:val="none"/>
          <w:lang w:val="zh-CN" w:eastAsia="zh-CN"/>
        </w:rPr>
        <w:t>比上年增加9.22万元，增长139.49%，主要原因是：</w:t>
      </w:r>
      <w:r>
        <w:rPr>
          <w:rFonts w:hint="eastAsia" w:ascii="仿宋_GB2312" w:hAnsi="仿宋_GB2312" w:eastAsia="仿宋_GB2312" w:cs="仿宋_GB2312"/>
          <w:spacing w:val="7"/>
          <w:sz w:val="32"/>
          <w:szCs w:val="32"/>
          <w:highlight w:val="none"/>
          <w:lang w:val="en-US" w:eastAsia="zh-CN"/>
        </w:rPr>
        <w:t>2022年</w:t>
      </w:r>
      <w:r>
        <w:rPr>
          <w:rFonts w:hint="eastAsia" w:ascii="仿宋_GB2312" w:hAnsi="仿宋_GB2312" w:eastAsia="仿宋_GB2312" w:cs="仿宋_GB2312"/>
          <w:color w:val="auto"/>
          <w:sz w:val="32"/>
          <w:szCs w:val="32"/>
          <w:highlight w:val="none"/>
          <w:lang w:val="en-US" w:eastAsia="zh-CN"/>
        </w:rPr>
        <w:t>机关运行经费支出</w:t>
      </w:r>
      <w:r>
        <w:rPr>
          <w:rFonts w:hint="eastAsia" w:ascii="仿宋_GB2312" w:hAnsi="仿宋_GB2312" w:eastAsia="仿宋_GB2312" w:cs="仿宋_GB2312"/>
          <w:color w:val="auto"/>
          <w:kern w:val="2"/>
          <w:sz w:val="32"/>
          <w:szCs w:val="32"/>
          <w:highlight w:val="none"/>
          <w:lang w:val="en-US" w:eastAsia="zh-CN" w:bidi="ar-SA"/>
        </w:rPr>
        <w:t>从</w:t>
      </w:r>
      <w:r>
        <w:rPr>
          <w:rFonts w:hint="eastAsia" w:ascii="仿宋_GB2312" w:hAnsi="仿宋_GB2312" w:eastAsia="仿宋_GB2312" w:cs="仿宋_GB2312"/>
          <w:spacing w:val="7"/>
          <w:sz w:val="32"/>
          <w:szCs w:val="32"/>
          <w:highlight w:val="none"/>
          <w:lang w:val="en-US" w:eastAsia="zh-CN"/>
        </w:rPr>
        <w:t>6月开始的，2023年</w:t>
      </w:r>
      <w:r>
        <w:rPr>
          <w:rFonts w:hint="eastAsia" w:ascii="仿宋_GB2312" w:hAnsi="仿宋_GB2312" w:eastAsia="仿宋_GB2312" w:cs="仿宋_GB2312"/>
          <w:color w:val="auto"/>
          <w:sz w:val="32"/>
          <w:szCs w:val="32"/>
          <w:highlight w:val="none"/>
          <w:lang w:val="en-US" w:eastAsia="zh-CN"/>
        </w:rPr>
        <w:t>机关运行经费支出</w:t>
      </w:r>
      <w:r>
        <w:rPr>
          <w:rFonts w:hint="eastAsia" w:ascii="仿宋_GB2312" w:hAnsi="仿宋_GB2312" w:eastAsia="仿宋_GB2312" w:cs="仿宋_GB2312"/>
          <w:color w:val="auto"/>
          <w:kern w:val="2"/>
          <w:sz w:val="32"/>
          <w:szCs w:val="32"/>
          <w:highlight w:val="none"/>
          <w:lang w:val="en-US" w:eastAsia="zh-CN" w:bidi="ar-SA"/>
        </w:rPr>
        <w:t>是全年的，因此</w:t>
      </w:r>
      <w:r>
        <w:rPr>
          <w:rFonts w:hint="eastAsia" w:ascii="仿宋_GB2312" w:hAnsi="仿宋_GB2312" w:eastAsia="仿宋_GB2312" w:cs="仿宋_GB2312"/>
          <w:color w:val="auto"/>
          <w:sz w:val="32"/>
          <w:szCs w:val="32"/>
          <w:highlight w:val="none"/>
          <w:lang w:val="en-US" w:eastAsia="zh-CN"/>
        </w:rPr>
        <w:t>机关运行经费支出</w:t>
      </w:r>
      <w:r>
        <w:rPr>
          <w:rFonts w:hint="eastAsia" w:ascii="仿宋_GB2312" w:hAnsi="仿宋_GB2312" w:eastAsia="仿宋_GB2312" w:cs="仿宋_GB2312"/>
          <w:color w:val="auto"/>
          <w:kern w:val="2"/>
          <w:sz w:val="32"/>
          <w:szCs w:val="32"/>
          <w:highlight w:val="none"/>
          <w:lang w:val="en-US" w:eastAsia="zh-CN" w:bidi="ar-SA"/>
        </w:rPr>
        <w:t>比上年决算增加</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37.94万元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其中：政府采购货物支出2.32万元、政府采购工程支出0.00万元、政府采购服务支出35.62万元。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授予中小企业合同金额37.94万元，占政府采购支出总额的100.00%，其中：授予小微企业合同金额37.94万元，占政府采购支出总额的100.00%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zh-CN" w:eastAsia="zh-CN"/>
        </w:rPr>
      </w:pPr>
      <w:bookmarkStart w:id="26" w:name="_Toc4591"/>
      <w:bookmarkStart w:id="27" w:name="_Toc8391"/>
      <w:r>
        <w:rPr>
          <w:rFonts w:hint="eastAsia" w:ascii="仿宋_GB2312" w:hAnsi="仿宋_GB2312" w:eastAsia="仿宋_GB2312" w:cs="仿宋_GB2312"/>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8.74</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屋0.00平方米，价值0.00万元。车辆0辆，价值0.00万元，其中：副部（省）级及以上领导用车0辆、主要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用车0辆、其他用车0辆，其他用车主要是：</w:t>
      </w:r>
      <w:r>
        <w:rPr>
          <w:rFonts w:hint="eastAsia" w:ascii="仿宋_GB2312" w:hAnsi="仿宋_GB2312" w:eastAsia="仿宋_GB2312" w:cs="仿宋_GB2312"/>
          <w:color w:val="auto"/>
          <w:sz w:val="32"/>
          <w:szCs w:val="32"/>
          <w:highlight w:val="none"/>
          <w:lang w:val="en-US" w:eastAsia="zh-CN"/>
        </w:rPr>
        <w:t>无其他用车</w:t>
      </w:r>
      <w:r>
        <w:rPr>
          <w:rFonts w:hint="eastAsia" w:ascii="仿宋_GB2312" w:hAnsi="仿宋_GB2312" w:eastAsia="仿宋_GB2312" w:cs="仿宋_GB2312"/>
          <w:color w:val="auto"/>
          <w:sz w:val="32"/>
          <w:szCs w:val="32"/>
          <w:highlight w:val="none"/>
          <w:lang w:val="zh-CN" w:eastAsia="zh-CN"/>
        </w:rPr>
        <w:t>；单价100万元（含）以上设备（不含车辆）0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预算总额2600.79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实际执行总额2356.3</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全年预算数2325.41</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全年执行数2080.92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。预算绩效管理取得的成效：一是保障了单位</w:t>
      </w:r>
      <w:r>
        <w:rPr>
          <w:rFonts w:hint="eastAsia" w:ascii="仿宋_GB2312" w:eastAsia="仿宋_GB2312"/>
          <w:color w:val="auto"/>
          <w:sz w:val="32"/>
          <w:szCs w:val="32"/>
          <w:highlight w:val="none"/>
          <w:lang w:val="en-US" w:eastAsia="zh-CN"/>
        </w:rPr>
        <w:t>人员</w:t>
      </w:r>
      <w:r>
        <w:rPr>
          <w:rFonts w:hint="eastAsia" w:ascii="仿宋_GB2312" w:eastAsia="仿宋_GB2312"/>
          <w:color w:val="auto"/>
          <w:sz w:val="32"/>
          <w:szCs w:val="32"/>
          <w:highlight w:val="none"/>
          <w:lang w:eastAsia="zh-CN"/>
        </w:rPr>
        <w:t>的工资、社保、公积金及生活补助等支出的正常发放，提升沙湾市</w:t>
      </w:r>
      <w:r>
        <w:rPr>
          <w:rFonts w:hint="eastAsia" w:ascii="仿宋_GB2312" w:eastAsia="仿宋_GB2312"/>
          <w:color w:val="auto"/>
          <w:sz w:val="32"/>
          <w:szCs w:val="32"/>
          <w:highlight w:val="none"/>
          <w:lang w:val="en-US" w:eastAsia="zh-CN"/>
        </w:rPr>
        <w:t>乡村振兴</w:t>
      </w:r>
      <w:r>
        <w:rPr>
          <w:rFonts w:hint="eastAsia" w:ascii="仿宋_GB2312" w:eastAsia="仿宋_GB2312"/>
          <w:color w:val="auto"/>
          <w:sz w:val="32"/>
          <w:szCs w:val="32"/>
          <w:highlight w:val="none"/>
          <w:lang w:eastAsia="zh-CN"/>
        </w:rPr>
        <w:t>为民服务能力；二是保障了</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的正常运转，提高了</w:t>
      </w:r>
      <w:r>
        <w:rPr>
          <w:rFonts w:hint="eastAsia" w:ascii="仿宋_GB2312" w:eastAsia="仿宋_GB2312"/>
          <w:color w:val="auto"/>
          <w:sz w:val="32"/>
          <w:szCs w:val="32"/>
          <w:highlight w:val="none"/>
          <w:lang w:val="en-US" w:eastAsia="zh-CN"/>
        </w:rPr>
        <w:t>乡村振兴局</w:t>
      </w:r>
      <w:r>
        <w:rPr>
          <w:rFonts w:hint="eastAsia" w:ascii="仿宋_GB2312" w:eastAsia="仿宋_GB2312"/>
          <w:color w:val="auto"/>
          <w:sz w:val="32"/>
          <w:szCs w:val="32"/>
          <w:highlight w:val="none"/>
          <w:lang w:eastAsia="zh-CN"/>
        </w:rPr>
        <w:t>的运转效能。保障了</w:t>
      </w:r>
      <w:r>
        <w:rPr>
          <w:rFonts w:hint="eastAsia" w:ascii="仿宋_GB2312" w:eastAsia="仿宋_GB2312"/>
          <w:color w:val="auto"/>
          <w:sz w:val="32"/>
          <w:szCs w:val="32"/>
          <w:highlight w:val="none"/>
          <w:lang w:val="en-US" w:eastAsia="zh-CN"/>
        </w:rPr>
        <w:t>乡村振兴项目</w:t>
      </w:r>
      <w:r>
        <w:rPr>
          <w:rFonts w:hint="eastAsia" w:ascii="仿宋_GB2312" w:eastAsia="仿宋_GB2312"/>
          <w:color w:val="auto"/>
          <w:sz w:val="32"/>
          <w:szCs w:val="32"/>
          <w:highlight w:val="none"/>
          <w:lang w:eastAsia="zh-CN"/>
        </w:rPr>
        <w:t>按照年初计划如期推进，对于实施进度缓慢的项目，通过调度、约谈等方式推进项目建设和提高项目质量，以发挥资金使用效益。发现的问题及原因：一是资金使用效益需进一步提高。预算编制前根据年度内单位可预见的工作任务，确定了单位年度预算目标，细化了预算指标，但是在实际支付过程中，未严格按照预算指标执行；二是绩效目标设立需更加明确、细化和量化。由于对项目过程了解不够，对绩效目标设立不够清晰，量化程度与实际相脱节。不能有效反应项目实施过程中关键指标。</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下一步改进措施：一是高度重视财政预决算工作，加强预算的约束力。继续强化预算内资金和项目管理，加大各项推进力度，定期进行调度，确保各项工作早日完成，资金执行到位，对项目进行监督检查和绩效考核，并强化考核结果应用；二是加强内部管理，严格执行预算，坚持厉行节约，进一步降低财务支出。加强项目绩效监控工作，将任务落实到具体项目，明确责任主体。加强各项资金绩效监控管理，做到专款专用，并发挥最大效益，促进基础工作目标的圆满完成。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5A5C29"/>
    <w:rsid w:val="019404F8"/>
    <w:rsid w:val="01C30B6B"/>
    <w:rsid w:val="01ED22F2"/>
    <w:rsid w:val="02BD3108"/>
    <w:rsid w:val="02F73D26"/>
    <w:rsid w:val="034D4FEF"/>
    <w:rsid w:val="035D1785"/>
    <w:rsid w:val="039F47CE"/>
    <w:rsid w:val="03BD5310"/>
    <w:rsid w:val="03E05CE8"/>
    <w:rsid w:val="03F973EE"/>
    <w:rsid w:val="041B119F"/>
    <w:rsid w:val="043E5B56"/>
    <w:rsid w:val="04C04386"/>
    <w:rsid w:val="04D1736D"/>
    <w:rsid w:val="04D92390"/>
    <w:rsid w:val="04D96608"/>
    <w:rsid w:val="04F210E4"/>
    <w:rsid w:val="04FA68C4"/>
    <w:rsid w:val="053F5AE6"/>
    <w:rsid w:val="055B65AF"/>
    <w:rsid w:val="057C0B0F"/>
    <w:rsid w:val="05BD667A"/>
    <w:rsid w:val="05EF4B48"/>
    <w:rsid w:val="05F76ECA"/>
    <w:rsid w:val="06183A24"/>
    <w:rsid w:val="06792773"/>
    <w:rsid w:val="06FD75CA"/>
    <w:rsid w:val="07093795"/>
    <w:rsid w:val="077F67B1"/>
    <w:rsid w:val="07804730"/>
    <w:rsid w:val="079052BE"/>
    <w:rsid w:val="08145C21"/>
    <w:rsid w:val="08422688"/>
    <w:rsid w:val="085854ED"/>
    <w:rsid w:val="0879188F"/>
    <w:rsid w:val="08A0354D"/>
    <w:rsid w:val="08A92545"/>
    <w:rsid w:val="08CD4C49"/>
    <w:rsid w:val="09114954"/>
    <w:rsid w:val="095A5B83"/>
    <w:rsid w:val="096466E3"/>
    <w:rsid w:val="0968304D"/>
    <w:rsid w:val="09AF3D17"/>
    <w:rsid w:val="0A1A27FA"/>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CDC5686"/>
    <w:rsid w:val="0D172DAA"/>
    <w:rsid w:val="0D4903E8"/>
    <w:rsid w:val="0D4C4A2E"/>
    <w:rsid w:val="0D7A4A46"/>
    <w:rsid w:val="0E640559"/>
    <w:rsid w:val="0F1113DA"/>
    <w:rsid w:val="0F78534A"/>
    <w:rsid w:val="0F89358A"/>
    <w:rsid w:val="0F8C6D51"/>
    <w:rsid w:val="0F9A2EE3"/>
    <w:rsid w:val="105B0B5E"/>
    <w:rsid w:val="112E58D0"/>
    <w:rsid w:val="11731CAC"/>
    <w:rsid w:val="119500A0"/>
    <w:rsid w:val="11C0733B"/>
    <w:rsid w:val="11D50D17"/>
    <w:rsid w:val="11DE5560"/>
    <w:rsid w:val="120E0809"/>
    <w:rsid w:val="127F665A"/>
    <w:rsid w:val="12F7068C"/>
    <w:rsid w:val="14207DC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D26CD4"/>
    <w:rsid w:val="19E117CB"/>
    <w:rsid w:val="19E60D19"/>
    <w:rsid w:val="1A3E3450"/>
    <w:rsid w:val="1AD807E5"/>
    <w:rsid w:val="1B39345B"/>
    <w:rsid w:val="1B702D65"/>
    <w:rsid w:val="1B8B6529"/>
    <w:rsid w:val="1BDB348B"/>
    <w:rsid w:val="1BFB2A1F"/>
    <w:rsid w:val="1C015D4A"/>
    <w:rsid w:val="1C290ED5"/>
    <w:rsid w:val="1C317E4F"/>
    <w:rsid w:val="1C472464"/>
    <w:rsid w:val="1D22799A"/>
    <w:rsid w:val="1D5C1A72"/>
    <w:rsid w:val="1DAE3742"/>
    <w:rsid w:val="1DAF458D"/>
    <w:rsid w:val="1E086ACE"/>
    <w:rsid w:val="1E0B3F1D"/>
    <w:rsid w:val="1E62130A"/>
    <w:rsid w:val="1E97358B"/>
    <w:rsid w:val="1EAA4A5F"/>
    <w:rsid w:val="1EE869A7"/>
    <w:rsid w:val="1EEA587E"/>
    <w:rsid w:val="1F3F37CF"/>
    <w:rsid w:val="1FA15E62"/>
    <w:rsid w:val="1FED69B6"/>
    <w:rsid w:val="2064678E"/>
    <w:rsid w:val="206A73A7"/>
    <w:rsid w:val="20DC1AB9"/>
    <w:rsid w:val="20DD6197"/>
    <w:rsid w:val="212631E0"/>
    <w:rsid w:val="2138666F"/>
    <w:rsid w:val="21742080"/>
    <w:rsid w:val="21A53757"/>
    <w:rsid w:val="21F879E1"/>
    <w:rsid w:val="221236C6"/>
    <w:rsid w:val="22D7662C"/>
    <w:rsid w:val="23326B7F"/>
    <w:rsid w:val="2380045B"/>
    <w:rsid w:val="23BC04D2"/>
    <w:rsid w:val="23EF1892"/>
    <w:rsid w:val="2483647E"/>
    <w:rsid w:val="24A32D55"/>
    <w:rsid w:val="24CE6D9A"/>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4E18B8"/>
    <w:rsid w:val="29CB58F0"/>
    <w:rsid w:val="2A053397"/>
    <w:rsid w:val="2A145E96"/>
    <w:rsid w:val="2A2131BB"/>
    <w:rsid w:val="2AF5378F"/>
    <w:rsid w:val="2B2C42A3"/>
    <w:rsid w:val="2BB94DBF"/>
    <w:rsid w:val="2BF37410"/>
    <w:rsid w:val="2C6F314E"/>
    <w:rsid w:val="2C983D35"/>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C549FD"/>
    <w:rsid w:val="372F0A9F"/>
    <w:rsid w:val="37A755DD"/>
    <w:rsid w:val="37F33BFE"/>
    <w:rsid w:val="37F94FA0"/>
    <w:rsid w:val="380D3381"/>
    <w:rsid w:val="38115B1F"/>
    <w:rsid w:val="385E3AC3"/>
    <w:rsid w:val="387D6B9E"/>
    <w:rsid w:val="38B75FF0"/>
    <w:rsid w:val="38D45016"/>
    <w:rsid w:val="38D90432"/>
    <w:rsid w:val="3914510A"/>
    <w:rsid w:val="3926770B"/>
    <w:rsid w:val="39444F7D"/>
    <w:rsid w:val="3982065B"/>
    <w:rsid w:val="398D3668"/>
    <w:rsid w:val="39DA0497"/>
    <w:rsid w:val="3A893816"/>
    <w:rsid w:val="3A893B6D"/>
    <w:rsid w:val="3AD1763A"/>
    <w:rsid w:val="3B196883"/>
    <w:rsid w:val="3B6716E3"/>
    <w:rsid w:val="3B6C6B2D"/>
    <w:rsid w:val="3C242659"/>
    <w:rsid w:val="3C96719C"/>
    <w:rsid w:val="3CA72BE8"/>
    <w:rsid w:val="3CDC1E1E"/>
    <w:rsid w:val="3CF37F8C"/>
    <w:rsid w:val="3D137554"/>
    <w:rsid w:val="3D5275AC"/>
    <w:rsid w:val="3DCC2473"/>
    <w:rsid w:val="3DEB0883"/>
    <w:rsid w:val="3E2527BF"/>
    <w:rsid w:val="3E34537A"/>
    <w:rsid w:val="3E685953"/>
    <w:rsid w:val="3E70484C"/>
    <w:rsid w:val="3E731662"/>
    <w:rsid w:val="3E8168DD"/>
    <w:rsid w:val="3EA7725F"/>
    <w:rsid w:val="3EB03713"/>
    <w:rsid w:val="3EBF1A11"/>
    <w:rsid w:val="3EC52607"/>
    <w:rsid w:val="3EEC6CEF"/>
    <w:rsid w:val="3F183429"/>
    <w:rsid w:val="3FB77A1D"/>
    <w:rsid w:val="3FDC3674"/>
    <w:rsid w:val="3FED7F8A"/>
    <w:rsid w:val="3FF66017"/>
    <w:rsid w:val="40094AEF"/>
    <w:rsid w:val="405470BD"/>
    <w:rsid w:val="40794A29"/>
    <w:rsid w:val="40834692"/>
    <w:rsid w:val="41263FEF"/>
    <w:rsid w:val="41431AD5"/>
    <w:rsid w:val="414B3C0F"/>
    <w:rsid w:val="417C1CE7"/>
    <w:rsid w:val="41900018"/>
    <w:rsid w:val="41944406"/>
    <w:rsid w:val="41CE128F"/>
    <w:rsid w:val="41DA6F12"/>
    <w:rsid w:val="42013BFD"/>
    <w:rsid w:val="42171FB1"/>
    <w:rsid w:val="42C10D7B"/>
    <w:rsid w:val="434E6957"/>
    <w:rsid w:val="43BA0E31"/>
    <w:rsid w:val="43C15147"/>
    <w:rsid w:val="43E14DD2"/>
    <w:rsid w:val="43F800E9"/>
    <w:rsid w:val="443A7E4B"/>
    <w:rsid w:val="444A7D08"/>
    <w:rsid w:val="44F447D8"/>
    <w:rsid w:val="452F5B3A"/>
    <w:rsid w:val="454E7FD2"/>
    <w:rsid w:val="45A1640E"/>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C95CE1"/>
    <w:rsid w:val="4EFD18DE"/>
    <w:rsid w:val="4F144236"/>
    <w:rsid w:val="4F23104D"/>
    <w:rsid w:val="4F663C87"/>
    <w:rsid w:val="4F7E29A8"/>
    <w:rsid w:val="4F9E1FFC"/>
    <w:rsid w:val="50447CC2"/>
    <w:rsid w:val="50874A7C"/>
    <w:rsid w:val="50895EE7"/>
    <w:rsid w:val="50921B9D"/>
    <w:rsid w:val="50D16158"/>
    <w:rsid w:val="50DB5F45"/>
    <w:rsid w:val="51025EB1"/>
    <w:rsid w:val="51141503"/>
    <w:rsid w:val="513C450E"/>
    <w:rsid w:val="518D0ED5"/>
    <w:rsid w:val="51A11D0A"/>
    <w:rsid w:val="525C687F"/>
    <w:rsid w:val="52A3740A"/>
    <w:rsid w:val="52F647F7"/>
    <w:rsid w:val="52F92565"/>
    <w:rsid w:val="53AE735E"/>
    <w:rsid w:val="53C143A6"/>
    <w:rsid w:val="53D03877"/>
    <w:rsid w:val="542F73CA"/>
    <w:rsid w:val="5430786D"/>
    <w:rsid w:val="545A1D2A"/>
    <w:rsid w:val="54C811C0"/>
    <w:rsid w:val="556A442D"/>
    <w:rsid w:val="55DA564E"/>
    <w:rsid w:val="55E4287A"/>
    <w:rsid w:val="55E816A3"/>
    <w:rsid w:val="5604127D"/>
    <w:rsid w:val="56044E6C"/>
    <w:rsid w:val="56166703"/>
    <w:rsid w:val="56510474"/>
    <w:rsid w:val="56861525"/>
    <w:rsid w:val="56A93273"/>
    <w:rsid w:val="56BD550C"/>
    <w:rsid w:val="56CE6ADF"/>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8C3717"/>
    <w:rsid w:val="5CBB0CE2"/>
    <w:rsid w:val="5CC17177"/>
    <w:rsid w:val="5CF306BC"/>
    <w:rsid w:val="5CFF3F21"/>
    <w:rsid w:val="5D3F3D64"/>
    <w:rsid w:val="5D4A529A"/>
    <w:rsid w:val="5D833043"/>
    <w:rsid w:val="5DD92690"/>
    <w:rsid w:val="5DDB1CFD"/>
    <w:rsid w:val="5E7E6D93"/>
    <w:rsid w:val="5E82459B"/>
    <w:rsid w:val="5ED44800"/>
    <w:rsid w:val="5F350BDE"/>
    <w:rsid w:val="5F61632C"/>
    <w:rsid w:val="5FA17648"/>
    <w:rsid w:val="5FE705CB"/>
    <w:rsid w:val="6007714E"/>
    <w:rsid w:val="603D5080"/>
    <w:rsid w:val="60507B1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6215BF"/>
    <w:rsid w:val="64882301"/>
    <w:rsid w:val="64D6010D"/>
    <w:rsid w:val="64D82665"/>
    <w:rsid w:val="64E47C96"/>
    <w:rsid w:val="651E5741"/>
    <w:rsid w:val="655D7702"/>
    <w:rsid w:val="658A4877"/>
    <w:rsid w:val="65A00902"/>
    <w:rsid w:val="65AC6EDD"/>
    <w:rsid w:val="65B740EF"/>
    <w:rsid w:val="65D97752"/>
    <w:rsid w:val="66085536"/>
    <w:rsid w:val="66105BF7"/>
    <w:rsid w:val="66150023"/>
    <w:rsid w:val="6628010D"/>
    <w:rsid w:val="669B4528"/>
    <w:rsid w:val="66CC12D7"/>
    <w:rsid w:val="67134CEF"/>
    <w:rsid w:val="671F1ABD"/>
    <w:rsid w:val="67521A59"/>
    <w:rsid w:val="679D5209"/>
    <w:rsid w:val="67C304AB"/>
    <w:rsid w:val="67E201E5"/>
    <w:rsid w:val="683F0658"/>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EF0725"/>
    <w:rsid w:val="6D402D77"/>
    <w:rsid w:val="6D473557"/>
    <w:rsid w:val="6D4B2604"/>
    <w:rsid w:val="6D77358F"/>
    <w:rsid w:val="6D8030E4"/>
    <w:rsid w:val="6E0E35C4"/>
    <w:rsid w:val="6E0F7A08"/>
    <w:rsid w:val="6E3947F5"/>
    <w:rsid w:val="6E6733A0"/>
    <w:rsid w:val="6E6E3938"/>
    <w:rsid w:val="6E9C74ED"/>
    <w:rsid w:val="6EF72976"/>
    <w:rsid w:val="6F0A19AC"/>
    <w:rsid w:val="6F795A80"/>
    <w:rsid w:val="6F7C1D2E"/>
    <w:rsid w:val="6F8E0407"/>
    <w:rsid w:val="6FDD069F"/>
    <w:rsid w:val="702B4D16"/>
    <w:rsid w:val="706605AA"/>
    <w:rsid w:val="70AA6621"/>
    <w:rsid w:val="7111480F"/>
    <w:rsid w:val="71261F49"/>
    <w:rsid w:val="712E6956"/>
    <w:rsid w:val="71473612"/>
    <w:rsid w:val="71504F32"/>
    <w:rsid w:val="7152309F"/>
    <w:rsid w:val="718F7F65"/>
    <w:rsid w:val="71DA6992"/>
    <w:rsid w:val="72383E87"/>
    <w:rsid w:val="727B234E"/>
    <w:rsid w:val="728A58B0"/>
    <w:rsid w:val="72B96D93"/>
    <w:rsid w:val="72D068C7"/>
    <w:rsid w:val="72E42ED8"/>
    <w:rsid w:val="72FC34C3"/>
    <w:rsid w:val="735F4CB9"/>
    <w:rsid w:val="73674C62"/>
    <w:rsid w:val="73845865"/>
    <w:rsid w:val="739B6D9E"/>
    <w:rsid w:val="73BC1D76"/>
    <w:rsid w:val="73C8412B"/>
    <w:rsid w:val="73F65473"/>
    <w:rsid w:val="73FB6630"/>
    <w:rsid w:val="742E16DF"/>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8F505D8"/>
    <w:rsid w:val="790A6425"/>
    <w:rsid w:val="790E2D96"/>
    <w:rsid w:val="791B54B2"/>
    <w:rsid w:val="793C0F89"/>
    <w:rsid w:val="795A0A34"/>
    <w:rsid w:val="797339C3"/>
    <w:rsid w:val="79D57D57"/>
    <w:rsid w:val="79F00650"/>
    <w:rsid w:val="7A481AAB"/>
    <w:rsid w:val="7A6242BF"/>
    <w:rsid w:val="7A794513"/>
    <w:rsid w:val="7A9B3811"/>
    <w:rsid w:val="7AB467DA"/>
    <w:rsid w:val="7AB9318D"/>
    <w:rsid w:val="7AE952D2"/>
    <w:rsid w:val="7B9F26AF"/>
    <w:rsid w:val="7BB607FE"/>
    <w:rsid w:val="7C7248A0"/>
    <w:rsid w:val="7C976D69"/>
    <w:rsid w:val="7CD752DA"/>
    <w:rsid w:val="7CDE40AB"/>
    <w:rsid w:val="7CF057E2"/>
    <w:rsid w:val="7D1548B5"/>
    <w:rsid w:val="7DF84014"/>
    <w:rsid w:val="7E207949"/>
    <w:rsid w:val="7E5C0A47"/>
    <w:rsid w:val="7E670C75"/>
    <w:rsid w:val="7EC31B86"/>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semiHidden/>
    <w:qFormat/>
    <w:uiPriority w:val="0"/>
    <w:rPr>
      <w:rFonts w:ascii="仿宋" w:hAnsi="仿宋" w:eastAsia="仿宋" w:cs="仿宋"/>
      <w:sz w:val="31"/>
      <w:szCs w:val="31"/>
      <w:lang w:val="en-US" w:eastAsia="en-US" w:bidi="ar-SA"/>
    </w:r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6621</Words>
  <Characters>22343</Characters>
  <Lines>0</Lines>
  <Paragraphs>0</Paragraphs>
  <TotalTime>1</TotalTime>
  <ScaleCrop>false</ScaleCrop>
  <LinksUpToDate>false</LinksUpToDate>
  <CharactersWithSpaces>22618</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财务</cp:lastModifiedBy>
  <dcterms:modified xsi:type="dcterms:W3CDTF">2024-09-29T05:07:50Z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6D0CFB25D0A147E39A8874F6D43C4225</vt:lpwstr>
  </property>
</Properties>
</file>